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C6" w:rsidRDefault="009E7BC6" w:rsidP="009E7BC6">
      <w:pPr>
        <w:pStyle w:val="a3"/>
        <w:spacing w:before="0" w:after="0"/>
        <w:jc w:val="center"/>
        <w:rPr>
          <w:rFonts w:ascii="方正小标宋简体" w:eastAsia="方正小标宋简体" w:cs="Arial"/>
          <w:b/>
          <w:sz w:val="32"/>
          <w:szCs w:val="32"/>
        </w:rPr>
      </w:pPr>
      <w:r w:rsidRPr="009E7BC6">
        <w:rPr>
          <w:rFonts w:ascii="方正小标宋简体" w:eastAsia="方正小标宋简体" w:cs="Arial" w:hint="eastAsia"/>
          <w:b/>
          <w:sz w:val="32"/>
          <w:szCs w:val="32"/>
        </w:rPr>
        <w:t>山东交通学院院长办公室</w:t>
      </w:r>
      <w:r w:rsidRPr="009E7BC6">
        <w:rPr>
          <w:rFonts w:ascii="方正小标宋简体" w:eastAsia="方正小标宋简体" w:cs="Arial"/>
          <w:b/>
          <w:sz w:val="32"/>
          <w:szCs w:val="32"/>
        </w:rPr>
        <w:t xml:space="preserve"> </w:t>
      </w:r>
    </w:p>
    <w:p w:rsidR="009E7BC6" w:rsidRDefault="009E7BC6" w:rsidP="009E7BC6">
      <w:pPr>
        <w:pStyle w:val="a3"/>
        <w:spacing w:before="0" w:after="0"/>
        <w:jc w:val="center"/>
        <w:rPr>
          <w:rFonts w:ascii="方正小标宋简体" w:eastAsia="方正小标宋简体" w:cs="Arial"/>
          <w:b/>
          <w:sz w:val="32"/>
          <w:szCs w:val="32"/>
        </w:rPr>
      </w:pPr>
      <w:r w:rsidRPr="009E7BC6">
        <w:rPr>
          <w:rFonts w:ascii="方正小标宋简体" w:eastAsia="方正小标宋简体" w:cs="Arial"/>
          <w:b/>
          <w:sz w:val="32"/>
          <w:szCs w:val="32"/>
        </w:rPr>
        <w:t>关于对2015年档案工作和年鉴编写情况的通报</w:t>
      </w:r>
    </w:p>
    <w:p w:rsidR="009E7BC6" w:rsidRDefault="009E7BC6" w:rsidP="009E7BC6">
      <w:pPr>
        <w:pStyle w:val="a3"/>
        <w:spacing w:before="0" w:after="0"/>
        <w:rPr>
          <w:rFonts w:cs="Arial"/>
        </w:rPr>
      </w:pPr>
      <w:r>
        <w:rPr>
          <w:rFonts w:ascii="方正小标宋简体" w:eastAsia="方正小标宋简体" w:cs="Arial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cs="Arial" w:hint="eastAsia"/>
          <w:sz w:val="32"/>
          <w:szCs w:val="32"/>
        </w:rPr>
        <w:t>2015年，经过学校办公室的统筹安排，在各单位（部门）的大力支持下，特别是在全体专兼职档案员和年鉴编写委员会的共同努力下，2014年度立卷归档和年鉴编写工作取得了显著成绩，为提升学校综合管理水平做出了积极的贡献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3"/>
        <w:rPr>
          <w:rFonts w:cs="Arial" w:hint="eastAsia"/>
        </w:rPr>
      </w:pPr>
      <w:r>
        <w:rPr>
          <w:rFonts w:ascii="黑体" w:eastAsia="黑体" w:hAnsi="黑体" w:cs="Arial" w:hint="eastAsia"/>
          <w:b/>
          <w:sz w:val="32"/>
          <w:szCs w:val="32"/>
        </w:rPr>
        <w:t>一、档案工作情况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各专兼职档案员本着高度负责的态度，按照学校档案工作的总体要求，全年共收集整理党群、行政、教学、科研等十大类档案1137 卷，顺利完成了我校2014年度文件材料立卷归档工作，为广大师生、学校发展和社会各界提供了优质的档案服务。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proofErr w:type="gramStart"/>
      <w:r>
        <w:rPr>
          <w:rFonts w:ascii="仿宋_GB2312" w:eastAsia="仿宋_GB2312" w:cs="Arial" w:hint="eastAsia"/>
          <w:sz w:val="32"/>
          <w:szCs w:val="32"/>
        </w:rPr>
        <w:t>现特别</w:t>
      </w:r>
      <w:proofErr w:type="gramEnd"/>
      <w:r>
        <w:rPr>
          <w:rFonts w:ascii="仿宋_GB2312" w:eastAsia="仿宋_GB2312" w:cs="Arial" w:hint="eastAsia"/>
          <w:sz w:val="32"/>
          <w:szCs w:val="32"/>
        </w:rPr>
        <w:t>对立卷归档工作完成较好的部门、个人提出表扬：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归档较为齐全的部门如下：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学校办公室、监审处、党委组织部、教务处、学科与研究生处、质量管理与绩效考核办公室、外事处、学生工作部（处）、团委、汽车工程学院、材料科学与工程学院、管理学院、财经学院、外国语学院、艺术与设计学院、轨道交通学院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归档率较高，能在规定时间内完成立卷工作，成绩比较突出的兼职档案员如下（以姓氏笔画为序）：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马贵斌、王华玮、王宗涛、王珊、王晓花、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卢溱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、冯春媛、刘中波、刘怡杉、刘瑾、闫晓阳、纪元、李利、李洪华、李洪涛、李瑞玲、李静、李璐、杨蒙蒙、吴媛媛、张志文、张媛媛、陈磊、郎伟锋、赵晓华、胡楠、贾佳、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倪</w:t>
      </w:r>
      <w:proofErr w:type="gramEnd"/>
      <w:r>
        <w:rPr>
          <w:rFonts w:ascii="仿宋_GB2312" w:eastAsia="仿宋_GB2312" w:cs="Arial" w:hint="eastAsia"/>
          <w:sz w:val="32"/>
          <w:szCs w:val="32"/>
        </w:rPr>
        <w:t>新正、唐文校、谭旭翔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3"/>
        <w:rPr>
          <w:rFonts w:cs="Arial" w:hint="eastAsia"/>
        </w:rPr>
      </w:pPr>
      <w:r>
        <w:rPr>
          <w:rFonts w:ascii="黑体" w:eastAsia="黑体" w:hAnsi="黑体" w:cs="Arial" w:hint="eastAsia"/>
          <w:b/>
          <w:sz w:val="32"/>
          <w:szCs w:val="32"/>
        </w:rPr>
        <w:t>二、年鉴编写情况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为做好《年鉴》编纂工作，印发了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”</w:t>
      </w:r>
      <w:proofErr w:type="gramEnd"/>
      <w:r>
        <w:rPr>
          <w:rFonts w:ascii="仿宋_GB2312" w:eastAsia="仿宋_GB2312" w:cs="Arial" w:hint="eastAsia"/>
          <w:sz w:val="32"/>
          <w:szCs w:val="32"/>
        </w:rPr>
        <w:t>年鉴撰稿规范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”</w:t>
      </w:r>
      <w:proofErr w:type="gramEnd"/>
      <w:r>
        <w:rPr>
          <w:rFonts w:ascii="仿宋_GB2312" w:eastAsia="仿宋_GB2312" w:cs="Arial" w:hint="eastAsia"/>
          <w:sz w:val="32"/>
          <w:szCs w:val="32"/>
        </w:rPr>
        <w:t>，从“内容结构”、“体例规范”、“语言规范”3个方面规范了年鉴撰稿工作。增加了“人物”、“学校基本情况统计”两个部类，将学生工作、研究生工作、成人教育工作中的毕业生名单组合成新的部类“毕业生名单”；</w:t>
      </w:r>
      <w:r>
        <w:rPr>
          <w:rFonts w:ascii="仿宋_GB2312" w:eastAsia="仿宋_GB2312" w:cs="Arial" w:hint="eastAsia"/>
          <w:sz w:val="32"/>
          <w:szCs w:val="32"/>
        </w:rPr>
        <w:lastRenderedPageBreak/>
        <w:t>将学生工作及共青团工作中的获奖学生名单统一调至“表彰与奖励”部类中。通过调整，常用各类名单更加便览、突出，检索效率大大提高。在参编人员的共同努力下，圆满完成了2014年《年鉴》的组稿及改版工作，由中国水利水电出版社出版，被“中国知网”收录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在年鉴编写工作中，编写委员会全体成员克服了任务重、时间紧等实际困难，高质量地完成了80万字的年鉴编写任务，并涌现出了一批先进个人（以姓氏笔画为序）：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马贵斌、王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珊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、王华玮、王宗涛、王宝义、王建勇、</w:t>
      </w:r>
      <w:r>
        <w:rPr>
          <w:rFonts w:ascii="仿宋_GB2312" w:eastAsia="仿宋_GB2312" w:cs="Arial" w:hint="eastAsia"/>
          <w:sz w:val="32"/>
          <w:szCs w:val="32"/>
        </w:rPr>
        <w:t>       </w:t>
      </w:r>
      <w:r>
        <w:rPr>
          <w:rFonts w:ascii="仿宋_GB2312" w:eastAsia="仿宋_GB2312" w:cs="Arial" w:hint="eastAsia"/>
          <w:sz w:val="32"/>
          <w:szCs w:val="32"/>
        </w:rPr>
        <w:t xml:space="preserve"> 王晓花、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卢</w:t>
      </w:r>
      <w:proofErr w:type="gramEnd"/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溱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、卢忠南、石筱靖、乔书凯、刘文江、</w:t>
      </w:r>
      <w:r>
        <w:rPr>
          <w:rFonts w:ascii="仿宋_GB2312" w:eastAsia="仿宋_GB2312" w:cs="Arial" w:hint="eastAsia"/>
          <w:sz w:val="32"/>
          <w:szCs w:val="32"/>
        </w:rPr>
        <w:t>       </w:t>
      </w:r>
      <w:r>
        <w:rPr>
          <w:rFonts w:ascii="仿宋_GB2312" w:eastAsia="仿宋_GB2312" w:cs="Arial" w:hint="eastAsia"/>
          <w:sz w:val="32"/>
          <w:szCs w:val="32"/>
        </w:rPr>
        <w:t xml:space="preserve"> 刘佃瑞、刘建磊、吕宜辉、孙明灿、孙晓婷、朱保华、纪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元、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闫晓阳、吴媛媛、张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冰、张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鹏、张志文、 张媛媛、李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宁、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李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利、李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丽、李 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炜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、李洪华、李祥贵、李瑞玲、杨运水、杨蒙蒙、陈晓燕、单立功、屈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展、郎伟锋、姜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坤、赵晓华、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唐文校、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袁</w:t>
      </w:r>
      <w:proofErr w:type="gramEnd"/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娜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、贾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佳、高尚阳、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崔</w:t>
      </w:r>
      <w:proofErr w:type="gramEnd"/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晓、崔德华、常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能、梁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Arial" w:hint="eastAsia"/>
          <w:sz w:val="32"/>
          <w:szCs w:val="32"/>
        </w:rPr>
        <w:t>浩</w:t>
      </w:r>
      <w:proofErr w:type="gramEnd"/>
      <w:r>
        <w:rPr>
          <w:rFonts w:ascii="仿宋_GB2312" w:eastAsia="仿宋_GB2312" w:cs="Arial" w:hint="eastAsia"/>
          <w:sz w:val="32"/>
          <w:szCs w:val="32"/>
        </w:rPr>
        <w:t>、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程思慧、谭旭翔、魏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博。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希望在本年度的立卷归档和年鉴编写工作中，各专兼职档案员和年鉴编写人员，以先进单位和个人为榜样，本</w:t>
      </w:r>
      <w:r>
        <w:rPr>
          <w:rFonts w:ascii="仿宋_GB2312" w:eastAsia="仿宋_GB2312" w:cs="Arial" w:hint="eastAsia"/>
          <w:sz w:val="32"/>
          <w:szCs w:val="32"/>
        </w:rPr>
        <w:lastRenderedPageBreak/>
        <w:t>着对历史高度负责、对学校发展高度负责的态度，再接再厉，继续做好有关工作，不断提高档案的归档率、完整率和准确率，提高年鉴组稿质量，为学校积累宝贵的历史财富，为我校各项事业的改革发展做出更加积极的贡献。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                           </w:t>
      </w:r>
      <w:r>
        <w:rPr>
          <w:rFonts w:ascii="仿宋_GB2312" w:eastAsia="仿宋_GB2312" w:cs="Arial" w:hint="eastAsia"/>
          <w:sz w:val="32"/>
          <w:szCs w:val="32"/>
        </w:rPr>
        <w:t xml:space="preserve"> 山东交通学院院长办公室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9E7BC6" w:rsidRDefault="009E7BC6" w:rsidP="009E7BC6">
      <w:pPr>
        <w:pStyle w:val="a3"/>
        <w:spacing w:before="0" w:after="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                               </w:t>
      </w:r>
      <w:r>
        <w:rPr>
          <w:rFonts w:ascii="仿宋_GB2312" w:eastAsia="仿宋_GB2312" w:cs="Arial" w:hint="eastAsia"/>
          <w:sz w:val="32"/>
          <w:szCs w:val="32"/>
        </w:rPr>
        <w:t xml:space="preserve"> 2016年4月25日</w:t>
      </w:r>
    </w:p>
    <w:p w:rsidR="009E7BC6" w:rsidRDefault="009E7BC6" w:rsidP="009E7BC6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3C0907" w:rsidRDefault="003C0907"/>
    <w:sectPr w:rsidR="003C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6"/>
    <w:rsid w:val="00295C39"/>
    <w:rsid w:val="003C0907"/>
    <w:rsid w:val="009E7BC6"/>
    <w:rsid w:val="00E06962"/>
    <w:rsid w:val="00E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F088"/>
  <w15:chartTrackingRefBased/>
  <w15:docId w15:val="{FB0B7E93-AD83-4C94-8AD2-950D6CE9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BC6"/>
    <w:pPr>
      <w:widowControl/>
      <w:spacing w:before="15" w:after="15" w:line="408" w:lineRule="auto"/>
      <w:jc w:val="left"/>
    </w:pPr>
    <w:rPr>
      <w:rFonts w:ascii="微软雅黑" w:eastAsia="微软雅黑" w:hAnsi="微软雅黑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陈祥虎</dc:creator>
  <cp:keywords/>
  <dc:description/>
  <cp:lastModifiedBy>陈祥虎</cp:lastModifiedBy>
  <cp:revision>2</cp:revision>
  <dcterms:created xsi:type="dcterms:W3CDTF">2017-06-15T12:45:00Z</dcterms:created>
  <dcterms:modified xsi:type="dcterms:W3CDTF">2017-06-15T12:46:00Z</dcterms:modified>
</cp:coreProperties>
</file>